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b w:val="0"/>
          <w:color w:val="auto"/>
          <w:szCs w:val="36"/>
          <w:highlight w:val="none"/>
          <w:lang w:val="zh-CN"/>
        </w:rPr>
      </w:pPr>
      <w:bookmarkStart w:id="0" w:name="_Toc497425135"/>
      <w:bookmarkStart w:id="1" w:name="_Toc246319935"/>
      <w:bookmarkStart w:id="2" w:name="_Toc246319020"/>
      <w:r>
        <w:rPr>
          <w:rFonts w:hint="eastAsia" w:ascii="宋体" w:hAnsi="宋体" w:eastAsia="宋体" w:cs="仿宋_GB2312"/>
          <w:snapToGrid/>
          <w:color w:val="auto"/>
          <w:sz w:val="32"/>
          <w:szCs w:val="32"/>
          <w:highlight w:val="none"/>
          <w:lang w:val="zh-CN"/>
        </w:rPr>
        <w:t>第三部分 项目技术规范和服务要求</w:t>
      </w:r>
      <w:bookmarkEnd w:id="0"/>
      <w:bookmarkEnd w:id="1"/>
      <w:bookmarkEnd w:id="2"/>
    </w:p>
    <w:p>
      <w:pPr>
        <w:pStyle w:val="5"/>
        <w:spacing w:before="0" w:line="380" w:lineRule="exact"/>
        <w:ind w:left="0" w:firstLine="422" w:firstLineChars="200"/>
        <w:rPr>
          <w:rFonts w:ascii="宋体" w:hAnsi="宋体"/>
          <w:b/>
          <w:color w:val="auto"/>
          <w:sz w:val="21"/>
          <w:szCs w:val="21"/>
          <w:highlight w:val="none"/>
        </w:rPr>
      </w:pPr>
      <w:r>
        <w:rPr>
          <w:rFonts w:hint="eastAsia" w:ascii="宋体" w:hAnsi="宋体"/>
          <w:b/>
          <w:color w:val="auto"/>
          <w:sz w:val="21"/>
          <w:szCs w:val="21"/>
          <w:highlight w:val="none"/>
        </w:rPr>
        <w:t>一、现运行消防联动报警系统情况说明及整改要求。</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2000年11月27日，浙江机械工业学校迁扩建工程的消防工程发包给浙江警宇消防安全工程有限公司，工程承包范围和内容：消防中心消防报警系统、室外消防水、电系统。开工日期2001年6月25日，竣工日期2001年7月30日。在全校范围内，采用的北京世宗智能有限责任公司ZN900系列JB—TG—6000－ZN975型（联运型）控制系统。</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1号楼食堂改造中，将1号楼1至3层报警系统改为北大青鸟消防报警系统。经2019年11月28日、11月30日专家组成员两次到校现场勘查，基本情况为：滨江校区消防系统现有消防主机两台，回路23路，探测器1173个，手报90个，消火栓按钮280，模块362个。近一个月主机报故障约350次，火警约65次，系统存在线路断路情况，主要集中在消火栓和广播模块。2019年2月18日再次现场勘查，并召开现场认证会。现提出如下意见：</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1、消防主机及系统存在的问题。</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滨江校区综合楼，2号楼、3号楼、4号楼、5号楼、6号楼、7号楼、8号楼、9号楼、10号楼、11号楼等建筑，火灾自动报警系统厂家为北京世宗智能有限责任公司，已使用10余年，品牌较老，故障较多，火灾隐患较大，消防安全风险高。且非目前市场上主流产品，缺少配件，维修维护成本高。</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建议更换为新型可靠的火灾自动报警系统，更换火灾自动报警系统主机和末端火灾探测器、手动报警按钮、消防广播、消火栓按钮、消防电话等消防设施，如有必要更换系统总线，以提高报警系统的可靠性和有效性，降低消防安全风险。</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2、原火灾自动报警系统无法满足国家现行消防标准规范的要求。</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现行消防法规对系统要求更高，目前系统与现行法规有较大差距。不符合《火灾自动报警系统设计》（GB50116-2013）的相关要求。</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建议更换为新型可靠的火灾自动报警系统后，重新进行编程，由单点联动调整为两点联动，提高报警系统的可靠性，有条件时增设短路隔离器并且每个报警联动回路预留15%的容量，方便后期改造。增设声光警报器和模块箱，避免模块安装在配电箱内造成误报和干扰，从面降低报警系统的可靠性；采用自带电话插孔的手动报警按钮并增设消防电话线。</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3、增加信息化管理功能。</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有条件的在消防控制室设置液位计，显示消防水池和屋顶消防水箱的液位，并在消火栓系统的干管上设置低压压力开关或在屋顶消防水箱设置流量开关，必要时可自行连锁启动消火栓泵，以提高消防安全水平。有条件增加信息化维护保养及智慧消防等功能。</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4、为后续新建项目预留端口。</w:t>
      </w:r>
    </w:p>
    <w:p>
      <w:pPr>
        <w:pStyle w:val="5"/>
        <w:spacing w:before="0" w:line="38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同时适当预留扩容条件，为后续新建实验楼及停车场等项目预留端口。</w:t>
      </w:r>
    </w:p>
    <w:p>
      <w:pPr>
        <w:pStyle w:val="5"/>
        <w:spacing w:before="0" w:line="380" w:lineRule="exact"/>
        <w:ind w:left="0" w:firstLine="420" w:firstLineChars="200"/>
        <w:rPr>
          <w:rFonts w:ascii="宋体" w:hAnsi="宋体"/>
          <w:color w:val="auto"/>
          <w:sz w:val="21"/>
          <w:szCs w:val="21"/>
          <w:highlight w:val="none"/>
        </w:rPr>
      </w:pPr>
    </w:p>
    <w:p>
      <w:pPr>
        <w:pStyle w:val="5"/>
        <w:spacing w:before="0" w:line="380" w:lineRule="exact"/>
        <w:ind w:left="0" w:firstLine="420" w:firstLineChars="200"/>
        <w:rPr>
          <w:rFonts w:ascii="宋体" w:hAnsi="宋体"/>
          <w:color w:val="auto"/>
          <w:sz w:val="21"/>
          <w:szCs w:val="21"/>
          <w:highlight w:val="none"/>
        </w:rPr>
      </w:pPr>
    </w:p>
    <w:p>
      <w:pPr>
        <w:pStyle w:val="5"/>
        <w:spacing w:before="0" w:line="380" w:lineRule="exact"/>
        <w:ind w:left="0" w:firstLine="422" w:firstLineChars="200"/>
        <w:rPr>
          <w:rFonts w:ascii="宋体" w:hAnsi="宋体"/>
          <w:b/>
          <w:color w:val="auto"/>
          <w:sz w:val="21"/>
          <w:szCs w:val="21"/>
          <w:highlight w:val="none"/>
        </w:rPr>
      </w:pPr>
      <w:r>
        <w:rPr>
          <w:rFonts w:hint="eastAsia" w:ascii="宋体" w:hAnsi="宋体"/>
          <w:b/>
          <w:color w:val="auto"/>
          <w:sz w:val="21"/>
          <w:szCs w:val="21"/>
          <w:highlight w:val="none"/>
        </w:rPr>
        <w:t>二、工程量清单</w:t>
      </w:r>
    </w:p>
    <w:tbl>
      <w:tblPr>
        <w:tblStyle w:val="4"/>
        <w:tblW w:w="7785" w:type="dxa"/>
        <w:tblInd w:w="95" w:type="dxa"/>
        <w:tblLayout w:type="fixed"/>
        <w:tblCellMar>
          <w:top w:w="0" w:type="dxa"/>
          <w:left w:w="108" w:type="dxa"/>
          <w:bottom w:w="0" w:type="dxa"/>
          <w:right w:w="108" w:type="dxa"/>
        </w:tblCellMar>
      </w:tblPr>
      <w:tblGrid>
        <w:gridCol w:w="904"/>
        <w:gridCol w:w="1858"/>
        <w:gridCol w:w="2746"/>
        <w:gridCol w:w="1227"/>
        <w:gridCol w:w="1050"/>
      </w:tblGrid>
      <w:tr>
        <w:tblPrEx>
          <w:tblLayout w:type="fixed"/>
          <w:tblCellMar>
            <w:top w:w="0" w:type="dxa"/>
            <w:left w:w="108" w:type="dxa"/>
            <w:bottom w:w="0" w:type="dxa"/>
            <w:right w:w="108" w:type="dxa"/>
          </w:tblCellMar>
        </w:tblPrEx>
        <w:trPr>
          <w:trHeight w:val="740" w:hRule="atLeast"/>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8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项目名称</w:t>
            </w:r>
          </w:p>
        </w:tc>
        <w:tc>
          <w:tcPr>
            <w:tcW w:w="27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特征描述</w:t>
            </w:r>
          </w:p>
        </w:tc>
        <w:tc>
          <w:tcPr>
            <w:tcW w:w="12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数量</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一</w:t>
            </w:r>
          </w:p>
        </w:tc>
        <w:tc>
          <w:tcPr>
            <w:tcW w:w="688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火灾报警系统</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消防报警主机（联动型）</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消防报警主机联动型 含手动控制盘、消防电话、集中供电电源</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CRT系统（含电脑及软件）</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与消防报警主机配套使用图形显示装置，具体显示平面图及报警点位</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消防报警主机双回路板</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与消防报警主机配套使用</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块</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85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消防报警主机多线盘</w:t>
            </w:r>
          </w:p>
        </w:tc>
        <w:tc>
          <w:tcPr>
            <w:tcW w:w="274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与消防报警主机配套使用</w:t>
            </w:r>
          </w:p>
        </w:tc>
        <w:tc>
          <w:tcPr>
            <w:tcW w:w="122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块</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消防电话主机</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与消防报警主机配套使用</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消防广播主机</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与消防报警主机配套使用</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消防广播功放</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与消防报警主机配套使用</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消防报警主机备电</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与消防报警主机配套使用</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组</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感温探测器（含底座）更换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智能型 电子编码 指示灯360度可见 内置单片机</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146</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感烟探测器（含底座）更换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智能型 电子编码 指示灯361度可见 内置单片机</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1050</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输入模块更换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电子编码 可接受设备常开或常闭信号</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130</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输出模块更换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电子编码 单动作输入输出</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220</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声光更换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电子编码 启动后发出强烈的声光警号</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160</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多线控制模块更换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输入输出具备检线功能</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层显示器更换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操作及报警界面全部汉字显示</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消火栓按钮更换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电子编码 插拔式 专用钥匙复位</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320</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手报按钮更换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电子编码 插拔式 专用钥匙复位</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107</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消防电话分机更换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与消防报警主机配套使用</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部</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19</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报警联动线路检修（更换）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根据现场实际情况</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回路</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电话系统线路检修（更换）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根据现场实际情况</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回路</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联动电源线路检修（更换）</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根据现场实际情况</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回路</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消防广播喇叭</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与消防报警主机配套使用</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160</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23</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消防广播线路</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与消防报警主机配套使用</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24</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控制柜检修</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根据现场实际情况</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应急灯更换安装</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充电时间≦ 24h；应急亮度＞50lm；其他性能要求符合GB17945-2010规定</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165</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26</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疏散指示灯更换安装</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50cd/㎡&lt;表面亮度&lt;300cd/㎡；其他性能要求符合GB17945-2010规定</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178</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27</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第三方检测</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检测资质正式一级、ISO质量管理体系认证</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Layout w:type="fixed"/>
          <w:tblCellMar>
            <w:top w:w="0" w:type="dxa"/>
            <w:left w:w="108" w:type="dxa"/>
            <w:bottom w:w="0" w:type="dxa"/>
            <w:right w:w="108" w:type="dxa"/>
          </w:tblCellMar>
        </w:tblPrEx>
        <w:trPr>
          <w:trHeight w:val="6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28</w:t>
            </w:r>
          </w:p>
        </w:tc>
        <w:tc>
          <w:tcPr>
            <w:tcW w:w="18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自动报警系统装置调试  3000点以下</w:t>
            </w:r>
          </w:p>
        </w:tc>
        <w:tc>
          <w:tcPr>
            <w:tcW w:w="27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根据现场实际情况</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系统</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Layout w:type="fixed"/>
          <w:tblCellMar>
            <w:top w:w="0" w:type="dxa"/>
            <w:left w:w="108" w:type="dxa"/>
            <w:bottom w:w="0" w:type="dxa"/>
            <w:right w:w="108" w:type="dxa"/>
          </w:tblCellMar>
        </w:tblPrEx>
        <w:trPr>
          <w:trHeight w:val="5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二</w:t>
            </w:r>
          </w:p>
        </w:tc>
        <w:tc>
          <w:tcPr>
            <w:tcW w:w="688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气体灭火系统</w:t>
            </w:r>
          </w:p>
        </w:tc>
      </w:tr>
      <w:tr>
        <w:tblPrEx>
          <w:tblLayout w:type="fixed"/>
          <w:tblCellMar>
            <w:top w:w="0" w:type="dxa"/>
            <w:left w:w="108" w:type="dxa"/>
            <w:bottom w:w="0" w:type="dxa"/>
            <w:right w:w="108" w:type="dxa"/>
          </w:tblCellMar>
        </w:tblPrEx>
        <w:trPr>
          <w:trHeight w:val="5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气体灭火控制器</w:t>
            </w:r>
          </w:p>
        </w:tc>
        <w:tc>
          <w:tcPr>
            <w:tcW w:w="27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全淹没灭火方式设计柜式灭火装置，设计工作压力2.5MPa，设计喷放时间不大于8秒。按保护区最低环境温度为20℃设计计算灭火剂用量。设计独立的气体灭火报警与联动控制系统。</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Layout w:type="fixed"/>
          <w:tblCellMar>
            <w:top w:w="0" w:type="dxa"/>
            <w:left w:w="108" w:type="dxa"/>
            <w:bottom w:w="0" w:type="dxa"/>
            <w:right w:w="108" w:type="dxa"/>
          </w:tblCellMar>
        </w:tblPrEx>
        <w:trPr>
          <w:trHeight w:val="5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灭火气体瓶组</w:t>
            </w:r>
          </w:p>
        </w:tc>
        <w:tc>
          <w:tcPr>
            <w:tcW w:w="27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r>
      <w:tr>
        <w:tblPrEx>
          <w:tblLayout w:type="fixed"/>
          <w:tblCellMar>
            <w:top w:w="0" w:type="dxa"/>
            <w:left w:w="108" w:type="dxa"/>
            <w:bottom w:w="0" w:type="dxa"/>
            <w:right w:w="108" w:type="dxa"/>
          </w:tblCellMar>
        </w:tblPrEx>
        <w:trPr>
          <w:trHeight w:val="5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灭火气体药剂充装</w:t>
            </w:r>
          </w:p>
        </w:tc>
        <w:tc>
          <w:tcPr>
            <w:tcW w:w="27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公斤</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w:t>
            </w:r>
          </w:p>
        </w:tc>
      </w:tr>
      <w:tr>
        <w:tblPrEx>
          <w:tblLayout w:type="fixed"/>
          <w:tblCellMar>
            <w:top w:w="0" w:type="dxa"/>
            <w:left w:w="108" w:type="dxa"/>
            <w:bottom w:w="0" w:type="dxa"/>
            <w:right w:w="108" w:type="dxa"/>
          </w:tblCellMar>
        </w:tblPrEx>
        <w:trPr>
          <w:trHeight w:val="5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三</w:t>
            </w:r>
          </w:p>
        </w:tc>
        <w:tc>
          <w:tcPr>
            <w:tcW w:w="6881" w:type="dxa"/>
            <w:gridSpan w:val="4"/>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防火卷帘系统</w:t>
            </w:r>
          </w:p>
        </w:tc>
      </w:tr>
      <w:tr>
        <w:tblPrEx>
          <w:tblLayout w:type="fixed"/>
          <w:tblCellMar>
            <w:top w:w="0" w:type="dxa"/>
            <w:left w:w="108" w:type="dxa"/>
            <w:bottom w:w="0" w:type="dxa"/>
            <w:right w:w="108" w:type="dxa"/>
          </w:tblCellMar>
        </w:tblPrEx>
        <w:trPr>
          <w:trHeight w:val="5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防火卷帘维修</w:t>
            </w:r>
          </w:p>
        </w:tc>
        <w:tc>
          <w:tcPr>
            <w:tcW w:w="27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防火卷帘主要零部件应符合相应国家标准或行业标准的规定，与消防控制室联动实现总控制，并兼有手动自动启闭功能。无机纤维复合防火卷帘帘面装饰布的燃烧性能不应低于GB 8624-1997B1级（纺织物）的要求；基布的燃烧性能不应低于GB 8624-1997A级的要求。</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档</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r>
      <w:tr>
        <w:tblPrEx>
          <w:tblLayout w:type="fixed"/>
          <w:tblCellMar>
            <w:top w:w="0" w:type="dxa"/>
            <w:left w:w="108" w:type="dxa"/>
            <w:bottom w:w="0" w:type="dxa"/>
            <w:right w:w="108" w:type="dxa"/>
          </w:tblCellMar>
        </w:tblPrEx>
        <w:trPr>
          <w:trHeight w:val="5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防火卷帘控制箱</w:t>
            </w:r>
          </w:p>
        </w:tc>
        <w:tc>
          <w:tcPr>
            <w:tcW w:w="27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防火卷帘电机更换</w:t>
            </w:r>
          </w:p>
        </w:tc>
        <w:tc>
          <w:tcPr>
            <w:tcW w:w="27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r>
      <w:tr>
        <w:tblPrEx>
          <w:tblLayout w:type="fixed"/>
          <w:tblCellMar>
            <w:top w:w="0" w:type="dxa"/>
            <w:left w:w="108" w:type="dxa"/>
            <w:bottom w:w="0" w:type="dxa"/>
            <w:right w:w="108" w:type="dxa"/>
          </w:tblCellMar>
        </w:tblPrEx>
        <w:trPr>
          <w:trHeight w:val="101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防火卷帘更换 </w:t>
            </w:r>
          </w:p>
        </w:tc>
        <w:tc>
          <w:tcPr>
            <w:tcW w:w="27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档</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四</w:t>
            </w:r>
          </w:p>
        </w:tc>
        <w:tc>
          <w:tcPr>
            <w:tcW w:w="688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排烟系统</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排烟风机维修</w:t>
            </w:r>
          </w:p>
        </w:tc>
        <w:tc>
          <w:tcPr>
            <w:tcW w:w="27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不燃A级保温型复合风管安装，风管、管件、法兰、零件、支吊架制作、安装，风管、法兰、法兰加</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固框、支吊架、保护层除锈、刷油。</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排烟风机控制箱维修</w:t>
            </w:r>
          </w:p>
        </w:tc>
        <w:tc>
          <w:tcPr>
            <w:tcW w:w="27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r>
      <w:tr>
        <w:tblPrEx>
          <w:tblLayout w:type="fixed"/>
          <w:tblCellMar>
            <w:top w:w="0" w:type="dxa"/>
            <w:left w:w="108" w:type="dxa"/>
            <w:bottom w:w="0" w:type="dxa"/>
            <w:right w:w="108" w:type="dxa"/>
          </w:tblCellMar>
        </w:tblPrEx>
        <w:trPr>
          <w:trHeight w:val="71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风管更换</w:t>
            </w:r>
          </w:p>
        </w:tc>
        <w:tc>
          <w:tcPr>
            <w:tcW w:w="27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平方米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400</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五</w:t>
            </w:r>
          </w:p>
        </w:tc>
        <w:tc>
          <w:tcPr>
            <w:tcW w:w="6881" w:type="dxa"/>
            <w:gridSpan w:val="4"/>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消防广播系统</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JDG明管敷设</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热镀锌钢导管</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2500</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4*1.5消防控制电缆</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阻燃</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2500</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4*1.5消防广播电缆</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阻燃</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2500</w:t>
            </w:r>
          </w:p>
        </w:tc>
      </w:tr>
      <w:tr>
        <w:tblPrEx>
          <w:tblLayout w:type="fixed"/>
          <w:tblCellMar>
            <w:top w:w="0" w:type="dxa"/>
            <w:left w:w="108" w:type="dxa"/>
            <w:bottom w:w="0" w:type="dxa"/>
            <w:right w:w="108" w:type="dxa"/>
          </w:tblCellMar>
        </w:tblPrEx>
        <w:trPr>
          <w:trHeight w:val="68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消防广播喇叭</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额定功率不应小于 3W，播放声压级应高于背景噪声 15dB</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六</w:t>
            </w:r>
          </w:p>
        </w:tc>
        <w:tc>
          <w:tcPr>
            <w:tcW w:w="6881" w:type="dxa"/>
            <w:gridSpan w:val="4"/>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消防报警总线及联动总线</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JDG明管敷设</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热镀锌钢导管</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2500</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4*1.5消防控制电缆</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阻燃</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4*1.5消防广播电缆</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阻燃</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w:t>
            </w:r>
          </w:p>
        </w:tc>
      </w:tr>
      <w:tr>
        <w:tblPrEx>
          <w:tblLayout w:type="fixed"/>
          <w:tblCellMar>
            <w:top w:w="0" w:type="dxa"/>
            <w:left w:w="108" w:type="dxa"/>
            <w:bottom w:w="0" w:type="dxa"/>
            <w:right w:w="108" w:type="dxa"/>
          </w:tblCellMar>
        </w:tblPrEx>
        <w:trPr>
          <w:trHeight w:val="89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消防声光讯响器</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环境噪声大于 60dB 场所，播放声压级应高于背景噪声 15dB，安装高度≥1.8米</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多线控制电缆</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阻燃</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消防报警信号总线</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阻燃</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2500</w:t>
            </w:r>
          </w:p>
        </w:tc>
      </w:tr>
      <w:tr>
        <w:tblPrEx>
          <w:tblLayout w:type="fixed"/>
          <w:tblCellMar>
            <w:top w:w="0" w:type="dxa"/>
            <w:left w:w="108" w:type="dxa"/>
            <w:bottom w:w="0" w:type="dxa"/>
            <w:right w:w="108" w:type="dxa"/>
          </w:tblCellMar>
        </w:tblPrEx>
        <w:trPr>
          <w:trHeight w:val="300"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消防联动总线</w:t>
            </w:r>
          </w:p>
        </w:tc>
        <w:tc>
          <w:tcPr>
            <w:tcW w:w="2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阻燃</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米</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2500</w:t>
            </w:r>
          </w:p>
        </w:tc>
      </w:tr>
    </w:tbl>
    <w:p>
      <w:pPr>
        <w:pStyle w:val="6"/>
        <w:tabs>
          <w:tab w:val="left" w:pos="628"/>
        </w:tabs>
        <w:spacing w:line="500" w:lineRule="exac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pStyle w:val="6"/>
        <w:numPr>
          <w:ilvl w:val="0"/>
          <w:numId w:val="1"/>
        </w:numPr>
        <w:tabs>
          <w:tab w:val="left" w:pos="628"/>
        </w:tabs>
        <w:spacing w:line="500" w:lineRule="exact"/>
        <w:jc w:val="lef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以上工程量清单仅为参考清单，实际工作量由投标人须结合图纸和现场实际踏勘自行复核，在投标报价时综合考虑，投标总价包干。</w:t>
      </w:r>
    </w:p>
    <w:p>
      <w:pPr>
        <w:pStyle w:val="6"/>
        <w:tabs>
          <w:tab w:val="left" w:pos="628"/>
        </w:tabs>
        <w:spacing w:line="500" w:lineRule="exact"/>
        <w:rPr>
          <w:rFonts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2）、招标人招标文件中提供的工程量清单包括（但不限于）本工程的所有内容，投标人须按照工程量清单以及本项目技术要求自行考虑，必须保证系统的完整性，投标总价包干，投标报价即为交钥匙工程项目价格。产品的提供及相应的技术、售后服务，并需满足本招标文件及相关标准、规范的要求。涉及对提供的货物有尺寸要求的，投标人中标后须与建设单位复核确认，以满足安装的需要。</w:t>
      </w:r>
    </w:p>
    <w:p>
      <w:pPr>
        <w:rPr>
          <w:b/>
          <w:bCs/>
          <w:color w:val="auto"/>
          <w:highlight w:val="none"/>
        </w:rPr>
      </w:pPr>
      <w:r>
        <w:rPr>
          <w:rFonts w:hint="eastAsia"/>
          <w:b/>
          <w:bCs/>
          <w:color w:val="auto"/>
          <w:highlight w:val="none"/>
        </w:rPr>
        <w:t>三、更换设备注意点</w:t>
      </w:r>
    </w:p>
    <w:p>
      <w:pPr>
        <w:rPr>
          <w:color w:val="auto"/>
          <w:highlight w:val="none"/>
        </w:rPr>
      </w:pPr>
      <w:r>
        <w:rPr>
          <w:rFonts w:hint="eastAsia"/>
          <w:color w:val="auto"/>
          <w:highlight w:val="none"/>
        </w:rPr>
        <w:t>1、由于基础工作不是很好，有些点位有漏点偏差的情况，在现场勘察时应予以重视，以实际点位为准。</w:t>
      </w:r>
    </w:p>
    <w:p>
      <w:pPr>
        <w:rPr>
          <w:color w:val="auto"/>
          <w:highlight w:val="none"/>
        </w:rPr>
      </w:pPr>
      <w:r>
        <w:rPr>
          <w:rFonts w:hint="eastAsia"/>
          <w:color w:val="auto"/>
          <w:highlight w:val="none"/>
        </w:rPr>
        <w:t>2、施工要求，尽量利用原先的线路走向，要有明确的清晰的施工图和施工方案，施工计划表，施工人员进场表</w:t>
      </w:r>
    </w:p>
    <w:p>
      <w:pPr>
        <w:rPr>
          <w:color w:val="auto"/>
          <w:highlight w:val="none"/>
        </w:rPr>
      </w:pPr>
      <w:r>
        <w:rPr>
          <w:rFonts w:hint="eastAsia"/>
          <w:color w:val="auto"/>
          <w:highlight w:val="none"/>
        </w:rPr>
        <w:t>3、报警总线分室内施工和室外施工，工程量分别计算。报警总线路不仅涉及到明管敷设，还有部分存在室外地面开挖埋管，请也考虑一下。</w:t>
      </w:r>
    </w:p>
    <w:p>
      <w:pPr>
        <w:rPr>
          <w:color w:val="auto"/>
          <w:highlight w:val="none"/>
        </w:rPr>
      </w:pPr>
      <w:r>
        <w:rPr>
          <w:rFonts w:hint="eastAsia"/>
          <w:color w:val="auto"/>
          <w:highlight w:val="none"/>
        </w:rPr>
        <w:t>4、</w:t>
      </w:r>
      <w:r>
        <w:rPr>
          <w:rFonts w:hint="eastAsia" w:ascii="宋体" w:hAnsi="宋体" w:cs="宋体"/>
          <w:color w:val="auto"/>
          <w:sz w:val="24"/>
          <w:szCs w:val="24"/>
          <w:highlight w:val="none"/>
        </w:rPr>
        <w:t>★</w:t>
      </w:r>
      <w:r>
        <w:rPr>
          <w:rFonts w:hint="eastAsia"/>
          <w:color w:val="auto"/>
          <w:highlight w:val="none"/>
        </w:rPr>
        <w:t>一号楼使用的报警系统为北大青鸟，</w:t>
      </w:r>
      <w:r>
        <w:rPr>
          <w:rFonts w:hint="eastAsia"/>
          <w:color w:val="auto"/>
          <w:highlight w:val="none"/>
          <w:lang w:val="en-US" w:eastAsia="zh-CN"/>
        </w:rPr>
        <w:t>智能制造及轨道交通实训基地用的系统为松江云安，</w:t>
      </w:r>
      <w:r>
        <w:rPr>
          <w:rFonts w:hint="eastAsia"/>
          <w:color w:val="auto"/>
          <w:highlight w:val="none"/>
        </w:rPr>
        <w:t>如果使用其他品牌的主机，请考虑兼容问题。</w:t>
      </w:r>
    </w:p>
    <w:p>
      <w:pPr>
        <w:rPr>
          <w:color w:val="auto"/>
          <w:highlight w:val="none"/>
        </w:rPr>
      </w:pPr>
      <w:r>
        <w:rPr>
          <w:rFonts w:hint="eastAsia"/>
          <w:color w:val="auto"/>
          <w:highlight w:val="none"/>
        </w:rPr>
        <w:t>5、负责拆除原来的报警系统不用的东西，集中存放。</w:t>
      </w:r>
    </w:p>
    <w:p>
      <w:pPr>
        <w:rPr>
          <w:b/>
          <w:bCs/>
          <w:color w:val="auto"/>
          <w:highlight w:val="none"/>
        </w:rPr>
      </w:pPr>
      <w:r>
        <w:rPr>
          <w:rFonts w:hint="eastAsia"/>
          <w:b/>
          <w:bCs/>
          <w:color w:val="auto"/>
          <w:highlight w:val="none"/>
        </w:rPr>
        <w:t>四、现场察勘</w:t>
      </w:r>
    </w:p>
    <w:p>
      <w:pPr>
        <w:rPr>
          <w:color w:val="auto"/>
          <w:highlight w:val="none"/>
        </w:rPr>
      </w:pPr>
      <w:r>
        <w:rPr>
          <w:rFonts w:hint="eastAsia" w:hAnsi="宋体" w:cs="Arial"/>
          <w:color w:val="auto"/>
          <w:highlight w:val="none"/>
        </w:rPr>
        <w:t>1、供应商</w:t>
      </w:r>
      <w:r>
        <w:rPr>
          <w:rFonts w:hAnsi="宋体" w:cs="Arial"/>
          <w:color w:val="auto"/>
          <w:highlight w:val="none"/>
        </w:rPr>
        <w:t>应先到工地踏勘以充分了解工地位置、情况、道路、储存空间、装卸限制及任何其它足以影响</w:t>
      </w:r>
      <w:r>
        <w:rPr>
          <w:rFonts w:hint="eastAsia" w:hAnsi="宋体" w:cs="Arial"/>
          <w:color w:val="auto"/>
          <w:highlight w:val="none"/>
        </w:rPr>
        <w:t>报价</w:t>
      </w:r>
      <w:r>
        <w:rPr>
          <w:rFonts w:hAnsi="宋体" w:cs="Arial"/>
          <w:color w:val="auto"/>
          <w:highlight w:val="none"/>
        </w:rPr>
        <w:t>总价的情况，任何因忽视或误解工地情况而导致的索赔或工期延长申请将不获批准。</w:t>
      </w:r>
    </w:p>
    <w:p>
      <w:pPr>
        <w:rPr>
          <w:rFonts w:ascii="Arial" w:hAnsi="宋体" w:cs="Arial"/>
          <w:color w:val="auto"/>
          <w:highlight w:val="none"/>
        </w:rPr>
      </w:pPr>
      <w:r>
        <w:rPr>
          <w:rFonts w:hint="eastAsia" w:ascii="Arial" w:hAnsi="宋体" w:cs="Arial"/>
          <w:color w:val="auto"/>
          <w:highlight w:val="none"/>
        </w:rPr>
        <w:t>2、</w:t>
      </w:r>
      <w:r>
        <w:rPr>
          <w:rFonts w:ascii="Arial" w:hAnsi="宋体" w:cs="Arial"/>
          <w:color w:val="auto"/>
          <w:highlight w:val="none"/>
        </w:rPr>
        <w:t>采购人在踏勘现场中介绍的场地和相关的周边环境情况，</w:t>
      </w:r>
      <w:r>
        <w:rPr>
          <w:rFonts w:hint="eastAsia" w:ascii="Arial" w:hAnsi="宋体" w:cs="Arial"/>
          <w:color w:val="auto"/>
          <w:highlight w:val="none"/>
        </w:rPr>
        <w:t>仅</w:t>
      </w:r>
      <w:r>
        <w:rPr>
          <w:rFonts w:ascii="Arial" w:hAnsi="宋体" w:cs="Arial"/>
          <w:color w:val="auto"/>
          <w:highlight w:val="none"/>
        </w:rPr>
        <w:t>供供应商在编制响应文件时参考，采购人不对供应商据此作出的判断和决策负责。</w:t>
      </w:r>
    </w:p>
    <w:p>
      <w:pPr>
        <w:rPr>
          <w:color w:val="auto"/>
          <w:highlight w:val="none"/>
        </w:rPr>
      </w:pPr>
      <w:r>
        <w:rPr>
          <w:rFonts w:hint="eastAsia"/>
          <w:color w:val="auto"/>
          <w:highlight w:val="none"/>
        </w:rPr>
        <w:t>现场勘察，对不清清楚楚的情况要及时提出要求质疑。中标后视为对现场情况了解掌握无疑义，招标文件中没有写到的细节或不完善的地方，需供应商根据专业规范需求补充完善，并能按国家规范要求施工及验收，符合消防法规，产生的矛盾以国家规范标准为争议处理的依据。</w:t>
      </w:r>
    </w:p>
    <w:p>
      <w:pPr>
        <w:rPr>
          <w:b/>
          <w:bCs/>
          <w:color w:val="auto"/>
          <w:highlight w:val="none"/>
        </w:rPr>
      </w:pPr>
      <w:r>
        <w:rPr>
          <w:rFonts w:hint="eastAsia"/>
          <w:b/>
          <w:bCs/>
          <w:color w:val="auto"/>
          <w:highlight w:val="none"/>
        </w:rPr>
        <w:t>五、总承包价。</w:t>
      </w:r>
    </w:p>
    <w:p>
      <w:pPr>
        <w:rPr>
          <w:rFonts w:hint="eastAsia" w:hAnsi="宋体" w:cs="Arial"/>
          <w:color w:val="auto"/>
          <w:highlight w:val="none"/>
        </w:rPr>
      </w:pPr>
      <w:r>
        <w:rPr>
          <w:rFonts w:hint="eastAsia"/>
          <w:color w:val="auto"/>
          <w:highlight w:val="none"/>
        </w:rPr>
        <w:t>1、</w:t>
      </w:r>
      <w:r>
        <w:rPr>
          <w:rFonts w:hint="eastAsia" w:hAnsi="宋体" w:cs="Arial"/>
          <w:color w:val="auto"/>
          <w:highlight w:val="none"/>
        </w:rPr>
        <w:t>报价</w:t>
      </w:r>
      <w:r>
        <w:rPr>
          <w:rFonts w:hAnsi="宋体" w:cs="Arial"/>
          <w:color w:val="auto"/>
          <w:highlight w:val="none"/>
        </w:rPr>
        <w:t>人可结合实际情况补充措施项目，总价一次性包干</w:t>
      </w:r>
      <w:r>
        <w:rPr>
          <w:rFonts w:hint="eastAsia" w:hAnsi="宋体" w:cs="Arial"/>
          <w:color w:val="auto"/>
          <w:highlight w:val="none"/>
        </w:rPr>
        <w:t>，</w:t>
      </w:r>
      <w:r>
        <w:rPr>
          <w:rFonts w:hAnsi="宋体" w:cs="Arial"/>
          <w:color w:val="auto"/>
          <w:highlight w:val="none"/>
        </w:rPr>
        <w:t>其余未列入而实际发生的费用均视为已分摊在已列项目的报价内，不再另行计取</w:t>
      </w:r>
      <w:r>
        <w:rPr>
          <w:rFonts w:hint="eastAsia" w:hAnsi="宋体" w:cs="Arial"/>
          <w:color w:val="auto"/>
          <w:highlight w:val="none"/>
        </w:rPr>
        <w:t>。</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2606E"/>
    <w:multiLevelType w:val="singleLevel"/>
    <w:tmpl w:val="557260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E3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360" w:lineRule="auto"/>
      <w:jc w:val="center"/>
      <w:outlineLvl w:val="0"/>
    </w:pPr>
    <w:rPr>
      <w:rFonts w:eastAsia="黑体"/>
      <w:b/>
      <w:bCs/>
      <w:snapToGrid w:val="0"/>
      <w:kern w:val="44"/>
      <w:sz w:val="36"/>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正文2"/>
    <w:basedOn w:val="1"/>
    <w:qFormat/>
    <w:uiPriority w:val="0"/>
    <w:pPr>
      <w:spacing w:before="156" w:line="360" w:lineRule="auto"/>
      <w:ind w:left="567" w:firstLine="510"/>
    </w:pPr>
    <w:rPr>
      <w:sz w:val="24"/>
      <w:szCs w:val="20"/>
    </w:rPr>
  </w:style>
  <w:style w:type="paragraph" w:customStyle="1" w:styleId="6">
    <w:name w:val="Char11"/>
    <w:basedOn w:val="1"/>
    <w:qFormat/>
    <w:uiPriority w:val="0"/>
    <w:rPr>
      <w:rFonts w:eastAsia="仿宋_GB2312"/>
      <w:sz w:val="2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zxzx1111</dc:creator>
  <lastModifiedBy>@</lastModifiedBy>
  <dcterms:modified xsi:type="dcterms:W3CDTF">2019-06-19T08:21:32Z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